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center"/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1017270</wp:posOffset>
                </wp:positionV>
                <wp:extent cx="4206240" cy="6873875"/>
                <wp:effectExtent l="14605" t="13970" r="27305" b="27305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9295" y="1852295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年XXX第X批投标资料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.35pt;margin-top:80.1pt;height:541.25pt;width:331.2pt;z-index:251661312;mso-width-relative:page;mso-height-relative:page;" fillcolor="#FFFFFF" filled="t" stroked="t" coordsize="21600,21600" o:gfxdata="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h1QyDcAAAACwEAAA8AAAAAAAAAAQAg&#10;AAAAIgAAAGRycy9kb3ducmV2LnhtbFBLAQIUABQAAAAIAIdO4kCWaAJjfAIAAPoEAAAOAAAAAAAA&#10;AAEAIAAAACsBAABkcnMvZTJvRG9jLnhtbFBLBQYAAAAABgAGAFkBAAAZBgAAAAA=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年XXX第X批投标资料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580390</wp:posOffset>
                </wp:positionV>
                <wp:extent cx="5041265" cy="7732395"/>
                <wp:effectExtent l="6350" t="6350" r="19685" b="14605"/>
                <wp:wrapNone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1090" y="92329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9.2pt;margin-top:45.7pt;height:608.85pt;width:396.95pt;z-index:251660288;mso-width-relative:page;mso-height-relative:page;" fillcolor="#FFFFFF" filled="t" stroked="t" coordsize="21600,21600" o:gfxdata="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LMww3X&#10;AAAACgEAAA8AAAAAAAAAAQAgAAAAIgAAAGRycy9kb3ducmV2LnhtbFBLAQIUABQAAAAIAIdO4kCY&#10;A1W7kwIAACYFAAAOAAAAAAAAAAEAIAAAACYBAABkcnMvZTJvRG9jLnhtbFBLBQYAAAAABgAGAFkB&#10;AAAr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2"/>
      </w:pPr>
    </w:p>
    <w:p/>
    <w:p/>
    <w:p/>
    <w:p>
      <w:pPr>
        <w:tabs>
          <w:tab w:val="left" w:pos="6039"/>
        </w:tabs>
        <w:jc w:val="left"/>
        <w:rPr>
          <w:rFonts w:hint="eastAsia"/>
        </w:rPr>
      </w:pPr>
      <w:r>
        <w:rPr>
          <w:rFonts w:hint="eastAsia"/>
        </w:rPr>
        <w:tab/>
      </w: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jc w:val="both"/>
        <w:rPr>
          <w:rFonts w:ascii="仿宋" w:hAnsi="仿宋" w:eastAsia="仿宋" w:cs="仿宋"/>
          <w:b/>
          <w:sz w:val="48"/>
          <w:szCs w:val="48"/>
        </w:rPr>
      </w:pPr>
    </w:p>
    <w:p>
      <w:pPr>
        <w:jc w:val="center"/>
        <w:rPr>
          <w:rFonts w:hint="eastAsia"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>202</w:t>
      </w:r>
      <w:r>
        <w:rPr>
          <w:rFonts w:hint="eastAsia" w:cs="仿宋"/>
          <w:b/>
          <w:sz w:val="72"/>
          <w:szCs w:val="72"/>
          <w:lang w:val="en-US" w:eastAsia="zh-CN"/>
        </w:rPr>
        <w:t>6</w:t>
      </w:r>
      <w:r>
        <w:rPr>
          <w:rFonts w:hint="eastAsia" w:cs="仿宋"/>
          <w:b/>
          <w:sz w:val="72"/>
          <w:szCs w:val="72"/>
        </w:rPr>
        <w:t>年公开询比第</w:t>
      </w:r>
      <w:r>
        <w:rPr>
          <w:rFonts w:hint="eastAsia" w:cs="仿宋"/>
          <w:b/>
          <w:sz w:val="72"/>
          <w:szCs w:val="72"/>
          <w:lang w:val="en-US" w:eastAsia="zh-CN"/>
        </w:rPr>
        <w:t>九</w:t>
      </w:r>
      <w:r>
        <w:rPr>
          <w:rFonts w:hint="eastAsia" w:cs="仿宋"/>
          <w:b/>
          <w:sz w:val="72"/>
          <w:szCs w:val="72"/>
        </w:rPr>
        <w:t>批</w:t>
      </w:r>
    </w:p>
    <w:p>
      <w:pPr>
        <w:jc w:val="center"/>
        <w:rPr>
          <w:rFonts w:cs="仿宋"/>
          <w:b/>
          <w:sz w:val="72"/>
          <w:szCs w:val="72"/>
        </w:rPr>
      </w:pPr>
      <w:r>
        <w:rPr>
          <w:rFonts w:hint="eastAsia" w:cs="仿宋"/>
          <w:b/>
          <w:sz w:val="72"/>
          <w:szCs w:val="72"/>
        </w:rPr>
        <w:t xml:space="preserve">投标资料 </w:t>
      </w:r>
    </w:p>
    <w:p>
      <w:pPr>
        <w:jc w:val="center"/>
        <w:rPr>
          <w:rFonts w:ascii="仿宋" w:hAnsi="仿宋" w:eastAsia="仿宋" w:cs="仿宋"/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rFonts w:ascii="仿宋" w:hAnsi="仿宋" w:eastAsia="仿宋" w:cs="仿宋"/>
          <w:b/>
          <w:sz w:val="28"/>
          <w:szCs w:val="28"/>
        </w:rPr>
      </w:pPr>
    </w:p>
    <w:p>
      <w:pPr>
        <w:jc w:val="both"/>
        <w:rPr>
          <w:rFonts w:hint="eastAsia" w:cs="仿宋"/>
          <w:b/>
          <w:sz w:val="28"/>
          <w:szCs w:val="28"/>
        </w:rPr>
      </w:pPr>
    </w:p>
    <w:p>
      <w:pPr>
        <w:jc w:val="center"/>
        <w:rPr>
          <w:rFonts w:hint="default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项目名称：</w:t>
      </w:r>
      <w:r>
        <w:rPr>
          <w:rFonts w:hint="eastAsia" w:cs="仿宋"/>
          <w:b/>
          <w:sz w:val="28"/>
          <w:szCs w:val="28"/>
          <w:u w:val="single"/>
        </w:rPr>
        <w:t xml:space="preserve"> 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>名医工作室项目</w:t>
      </w:r>
    </w:p>
    <w:p>
      <w:pPr>
        <w:ind w:firstLine="2530" w:firstLineChars="900"/>
        <w:jc w:val="both"/>
        <w:rPr>
          <w:rFonts w:hint="eastAsia" w:ascii="仿宋" w:hAnsi="仿宋" w:cs="仿宋" w:eastAsiaTheme="minorEastAsia"/>
          <w:b/>
          <w:sz w:val="28"/>
          <w:szCs w:val="28"/>
          <w:u w:val="single"/>
          <w:lang w:val="en-US" w:eastAsia="zh-CN"/>
        </w:rPr>
      </w:pPr>
      <w:r>
        <w:rPr>
          <w:rFonts w:hint="eastAsia" w:cs="仿宋"/>
          <w:b/>
          <w:sz w:val="28"/>
          <w:szCs w:val="28"/>
        </w:rPr>
        <w:t>投标供应商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cs="仿宋"/>
          <w:b/>
          <w:sz w:val="28"/>
          <w:szCs w:val="28"/>
          <w:u w:val="single"/>
        </w:rPr>
        <w:t>（盖章）</w:t>
      </w:r>
      <w:r>
        <w:rPr>
          <w:rFonts w:hint="eastAsia" w:cs="仿宋"/>
          <w:b/>
          <w:sz w:val="28"/>
          <w:szCs w:val="28"/>
          <w:u w:val="single"/>
          <w:lang w:val="en-US" w:eastAsia="zh-CN"/>
        </w:rPr>
        <w:t xml:space="preserve">       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jc w:val="center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p>
      <w:pPr>
        <w:pStyle w:val="3"/>
        <w:rPr>
          <w:rFonts w:hint="eastAsia"/>
        </w:rPr>
      </w:pPr>
    </w:p>
    <w:p>
      <w:pPr>
        <w:pStyle w:val="3"/>
      </w:pPr>
      <w:r>
        <w:rPr>
          <w:rFonts w:hint="eastAsia"/>
        </w:rPr>
        <w:t>一、报价表</w:t>
      </w:r>
    </w:p>
    <w:p>
      <w:pPr>
        <w:tabs>
          <w:tab w:val="left" w:pos="1800"/>
        </w:tabs>
        <w:jc w:val="center"/>
        <w:rPr>
          <w:b/>
          <w:szCs w:val="21"/>
        </w:rPr>
      </w:pPr>
    </w:p>
    <w:tbl>
      <w:tblPr>
        <w:tblStyle w:val="8"/>
        <w:tblpPr w:leftFromText="180" w:rightFromText="180" w:vertAnchor="text" w:horzAnchor="page" w:tblpXSpec="center" w:tblpY="233"/>
        <w:tblOverlap w:val="never"/>
        <w:tblW w:w="9976" w:type="dxa"/>
        <w:tblInd w:w="-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2667"/>
        <w:gridCol w:w="800"/>
        <w:gridCol w:w="1050"/>
        <w:gridCol w:w="1700"/>
        <w:gridCol w:w="1627"/>
        <w:gridCol w:w="14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标的名称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预算总价（元）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报价总价（元）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名医工作室项目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211143.43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/>
    <w:p>
      <w:pPr>
        <w:pStyle w:val="2"/>
      </w:pPr>
    </w:p>
    <w:p>
      <w:pPr>
        <w:spacing w:line="480" w:lineRule="auto"/>
        <w:ind w:firstLine="4480" w:firstLineChars="1600"/>
        <w:rPr>
          <w:rFonts w:eastAsia="仿宋"/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联系人：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spacing w:line="480" w:lineRule="auto"/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    期：    年  月  日</w: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pStyle w:val="2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22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pStyle w:val="3"/>
      </w:pPr>
      <w:r>
        <w:rPr>
          <w:rFonts w:hint="eastAsia"/>
        </w:rPr>
        <w:t>二、投标方提供相关资质证明（可扫描，盖章）。</w:t>
      </w:r>
    </w:p>
    <w:p>
      <w:r>
        <w:rPr>
          <w:rFonts w:hint="eastAsia"/>
          <w:b w:val="0"/>
          <w:bCs/>
        </w:rPr>
        <w:t>需提供</w:t>
      </w:r>
      <w:r>
        <w:rPr>
          <w:rStyle w:val="15"/>
          <w:rFonts w:hint="eastAsia"/>
          <w:sz w:val="21"/>
          <w:szCs w:val="21"/>
        </w:rPr>
        <w:t>《营业执照》</w:t>
      </w:r>
    </w:p>
    <w:p>
      <w:pPr>
        <w:pStyle w:val="3"/>
        <w:rPr>
          <w:rFonts w:hint="eastAsia" w:eastAsia="仿宋"/>
          <w:b w:val="0"/>
          <w:bCs/>
          <w:lang w:eastAsia="zh-CN"/>
        </w:rPr>
      </w:pPr>
    </w:p>
    <w:p/>
    <w:p/>
    <w:p/>
    <w:p>
      <w:r>
        <w:rPr>
          <w:rFonts w:hint="eastAsia"/>
        </w:rPr>
        <w:br w:type="page"/>
      </w:r>
    </w:p>
    <w:p>
      <w:pPr>
        <w:pStyle w:val="3"/>
        <w:rPr>
          <w:rFonts w:ascii="宋体" w:hAnsi="宋体"/>
          <w:sz w:val="30"/>
          <w:szCs w:val="30"/>
        </w:rPr>
      </w:pPr>
      <w:r>
        <w:rPr>
          <w:rFonts w:hint="eastAsia"/>
        </w:rPr>
        <w:t>三、授权委托证明书（如联系人为法人代表，可不提供此项）</w:t>
      </w:r>
    </w:p>
    <w:p>
      <w:pPr>
        <w:spacing w:line="540" w:lineRule="exact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left="210" w:leftChars="100" w:firstLine="560" w:firstLineChars="200"/>
        <w:jc w:val="lef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（投标方全称）法定代表人（姓名）兹授权（授权代表姓名）为授权代表，参加贵方采购项目。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（授权代表姓名）以我单位的名义并代表我单位全权处理贵院采购活动中的一切事宜，其在本项目采购活动中的一切行为对我单位具有法律约束力。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有效期限：年月日至年月日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单位名称（公章）：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5"/>
        <w:spacing w:line="540" w:lineRule="exact"/>
        <w:ind w:left="0" w:leftChars="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rFonts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日期：年月日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6i16v1gAAAAUBAAAPAAAAAAAAAAEAIAAAACIAAABkcnMvZG93&#10;bnJldi54bWxQSwECFAAUAAAACACHTuJAlbcZrHQCAADHBAAADgAAAAAAAAABACAAAAAl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3"/>
      </w:pPr>
      <w:r>
        <w:rPr>
          <w:rFonts w:hint="eastAsia"/>
        </w:rPr>
        <w:t>四、承诺函</w:t>
      </w:r>
    </w:p>
    <w:p>
      <w:pPr>
        <w:spacing w:line="540" w:lineRule="exact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致：廉江市人民医院</w:t>
      </w:r>
    </w:p>
    <w:p>
      <w:pPr>
        <w:spacing w:line="54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 xml:space="preserve">对于本项目，我方郑重承诺满足以下要求：    </w:t>
      </w:r>
    </w:p>
    <w:tbl>
      <w:tblPr>
        <w:tblStyle w:val="8"/>
        <w:tblpPr w:leftFromText="180" w:rightFromText="180" w:vertAnchor="text" w:horzAnchor="page" w:tblpXSpec="center" w:tblpY="638"/>
        <w:tblOverlap w:val="never"/>
        <w:tblW w:w="90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标的提供的时间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签订合同后30个日历日内完成全部货物的交付、安装及调试工作。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标的提供的地点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医技楼一楼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付款方式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本项目预算采购控制价含13%增值税，适用货物采购税率；本项目投标报价应为含税全包价，适用税率按国家现行税收政策执行，不同纳税人类型（一般纳税人、小规模纳税人、中小微企业等）按各自适用税率计取；</w:t>
            </w:r>
          </w:p>
          <w:p>
            <w:pPr>
              <w:jc w:val="left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2.全部货物交付并安装调试完毕，经双方验收合格并签署《验收确认书》后，60日内支付至合同总金额的95%；</w:t>
            </w:r>
          </w:p>
          <w:p>
            <w:pPr>
              <w:jc w:val="left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3.剩余总金额的5%自签署《验收确认书》之日起，一年内一次性无息付清；</w:t>
            </w:r>
          </w:p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4.本合同为固定单价包干合同，按实际完成量进行结算。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验收要求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按采购文件、中标人的投标文件及双方签订的合同参数要求逐项验收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售后要求</w:t>
            </w:r>
          </w:p>
        </w:tc>
        <w:tc>
          <w:tcPr>
            <w:tcW w:w="7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Style w:val="15"/>
                <w:rFonts w:hint="eastAsia"/>
                <w:sz w:val="21"/>
                <w:szCs w:val="21"/>
              </w:rPr>
              <w:t>自验收合格后质保期为壹年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</w:p>
    <w:p/>
    <w:p/>
    <w:p/>
    <w:p/>
    <w:p>
      <w:pPr>
        <w:spacing w:line="480" w:lineRule="auto"/>
        <w:ind w:firstLine="3150" w:firstLineChars="1500"/>
        <w:rPr>
          <w:sz w:val="28"/>
          <w:szCs w:val="28"/>
        </w:rPr>
      </w:pP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sz w:val="28"/>
          <w:szCs w:val="28"/>
        </w:rPr>
        <w:t>公司名称：（盖章）</w:t>
      </w:r>
    </w:p>
    <w:p>
      <w:pPr>
        <w:spacing w:line="480" w:lineRule="auto"/>
        <w:ind w:firstLine="4480" w:firstLineChars="1600"/>
        <w:rPr>
          <w:sz w:val="28"/>
          <w:szCs w:val="28"/>
        </w:rPr>
      </w:pPr>
      <w:r>
        <w:rPr>
          <w:rFonts w:hint="eastAsia"/>
          <w:sz w:val="28"/>
          <w:szCs w:val="28"/>
        </w:rPr>
        <w:t>日    期：    年月  日</w:t>
      </w:r>
    </w:p>
    <w:p>
      <w:pPr>
        <w:rPr>
          <w:rFonts w:ascii="仿宋" w:hAnsi="仿宋" w:eastAsia="仿宋" w:cs="仿宋"/>
          <w:sz w:val="24"/>
        </w:rPr>
      </w:pP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pPr>
        <w:keepNext w:val="0"/>
        <w:keepLines w:val="0"/>
        <w:pageBreakBefore w:val="0"/>
        <w:widowControl w:val="0"/>
        <w:tabs>
          <w:tab w:val="left" w:pos="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/>
        </w:rPr>
        <w:tab/>
      </w:r>
      <w:r>
        <w:rPr>
          <w:rFonts w:hint="eastAsia" w:eastAsia="仿宋" w:cs="仿宋"/>
          <w:b/>
          <w:kern w:val="44"/>
          <w:sz w:val="36"/>
        </w:rPr>
        <w:t>五、详细评审</w:t>
      </w:r>
    </w:p>
    <w:tbl>
      <w:tblPr>
        <w:tblStyle w:val="9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417"/>
        <w:gridCol w:w="4749"/>
        <w:gridCol w:w="651"/>
        <w:gridCol w:w="750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评审因素</w:t>
            </w:r>
          </w:p>
        </w:tc>
        <w:tc>
          <w:tcPr>
            <w:tcW w:w="7567" w:type="dxa"/>
            <w:gridSpan w:val="4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041" w:type="dxa"/>
            <w:vMerge w:val="restart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响应情况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（填写满足或不满足）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1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分值构成</w:t>
            </w:r>
          </w:p>
        </w:tc>
        <w:tc>
          <w:tcPr>
            <w:tcW w:w="7567" w:type="dxa"/>
            <w:gridSpan w:val="4"/>
            <w:tcBorders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技术部分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8分</w:t>
            </w:r>
          </w:p>
        </w:tc>
        <w:tc>
          <w:tcPr>
            <w:tcW w:w="1041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19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67" w:type="dxa"/>
            <w:gridSpan w:val="4"/>
            <w:tcBorders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商务部分12分</w:t>
            </w:r>
          </w:p>
        </w:tc>
        <w:tc>
          <w:tcPr>
            <w:tcW w:w="1041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191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67" w:type="dxa"/>
            <w:gridSpan w:val="4"/>
            <w:tcBorders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报价得分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分</w:t>
            </w:r>
          </w:p>
        </w:tc>
        <w:tc>
          <w:tcPr>
            <w:tcW w:w="1041" w:type="dxa"/>
            <w:vMerge w:val="continue"/>
            <w:tcBorders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1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技术部分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（58分）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每满足一条技术参数得0.8分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（48.8分）</w:t>
            </w: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货物名称</w:t>
            </w: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及特征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一、</w:t>
            </w: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书柜-高柜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1.基材：采用优质18mm生态多层板，甲醛释放量小于 5mg/100g；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2.优质实18mm生态多层板，材质坚硬、刚性强、不易腐蚀、抗弯强度适中、断裂强度适中。木材经高温干燥、除虫、防虫、防腐处理，具有很好的尺寸稳定性,含水率低于14%。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3.长2.4米、深0.4米、高2.4米。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5.76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二、</w:t>
            </w: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书柜-矮柜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1.基材：采用优质18mm生态多层板，甲醛释放量小于 5mg/100g；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2.优质实18mm生态多层板，材质坚硬、刚性强、不易腐蚀、抗弯强度适中、断裂强度适中。木材经高温干燥、除虫、防虫、防腐处理，具有很好的尺寸稳定性,含水率低于14%。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3.长2.4米、深0.4米、高1.0米。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三、</w:t>
            </w: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直条沙发凳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1.泡棉为PU成型发泡高密度海绵,高回弹海绵，软硬适中，回弹性好，不变形。整体切割,沙发坐面海绵密度≥25kg/m³；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2.饰面采用优质西皮，厚度为1mm，裁剪合理，缝接紧凑，游离甲醛含量为27.4mg/kg；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3.实木框架，实木经过防虫、防潮、防腐及多次烘干蒸发处理，整体框架结构合理，牢固,甲醛释放量为0.1mg/L。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4.长2.1米、宽0.5米、高0.7米。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6.3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四、</w:t>
            </w: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三位沙发凳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1.环保西皮，亲肤舒适透气，耐磨抗污防水、易清洁不粘毛；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2.座板为高密海绵加木板加环保皮扪制加工成型；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3.座板采用加宽加厚不锈钢材质，坐板，扶手脚厚度1.2MM横梁1.5MM坐板一体成型全包边，横梁全封闭式的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4.长1.8米、宽0.68米、高0.835米。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排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五、</w:t>
            </w: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单人位沙发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1.优质西皮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2.简介：沙发获得外观设计专利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3.靠背：高弹力绵靠背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4.座垫：高弹力绵座垫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5.靠枕：高弹力绵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6.扶手：高弹力绵固定型扶手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7.框架：五金沙发架+木方夹板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8.脚架：黑色五金沙发脚、中脚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9.长0.84米、宽0.78米、高0.82米。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六、茶几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1.基材：采用优质18mm生态多层板，甲醛释放量小于 5mg/100g；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2.优质实18mm生态多层板，材质坚硬、刚性强、不易腐蚀、抗弯强度适中、断裂强度适中。木材经高温干燥、除虫、防虫、防腐处理，具有很好的尺寸稳定性,含水率低于14%。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3.长0.4米、宽0.5米、高0.6米。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七、</w:t>
            </w: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办公台（含副柜）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1.台面：采用月亮树品牌加厚60厘国标E0级净味环保板，四周封边，配套月亮树2厘PUR封边。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2.副柜：采用月亮树品牌16厘国标E0级净味环保板，四周封边，配套月亮树1厘PUR封边，抽面/顶板/门板为2厘PUR封边  板件四周封边（防尘、环保、美观）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3.配件：①塑料过线盒 ②悍高品牌静音液压缓冲铰链（终身质保) ③联盛加厚37加宽静音三节导轨 ④TT品牌专利密码锁 ⑤预留86插座孔位  方便美观 ⑥办公台：长1.6米、宽0.8米、高0.75米；副柜：长1.6米、深0.48米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八、</w:t>
            </w: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办公转椅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1.材质金属：冷轧钢，电镀五金脚架；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2.塑胶椅身：PP/ABS材质，一体成型，承重部位壁厚≥5mm，耐冲击；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3.优质网布：高弹尼龙网布（拉伸强度≥150N），透气不闷汗，适合办公场景；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4.环保等级：板材甲醛释放量≤0.124mg/m³（E1级），面料无甲醛、无荧光剂，胶水采用环保水性胶；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5.安全设计：边角倒圆处理（弧度≥2cm），无尖锐凸起；金属件无毛刺，布艺/皮质无异味。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6.长:0.62米、宽:0.54米、高:0.97米；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九、</w:t>
            </w: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就诊椅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1.椅背：PP椅背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2.椅座：电镀钢架一体成型PP椅座，可拆装方便运输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3.椅架：电镀实心雪橇架，配双排扣脚垫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4.长:0.41米、宽:0.43米、高:0.76米；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十、</w:t>
            </w: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洽谈椅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1.椅背遵循人体工学原理，稳固承托，久坐不累；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2.甄选耐磨皮革座面，柔顺防水，亲肤耐用，易清洁，回弹性好，舒适享受。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3.实木框架，实木经过防虫、防潮、防腐及多次烘干蒸发处理，整体框架结构合理，牢固,甲醛释放量为0.1mg/L。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4.长:0.5米、宽:0.45米、椅背高0.78,椅坐高0.46米；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default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十一、</w:t>
            </w:r>
            <w:r>
              <w:rPr>
                <w:rStyle w:val="15"/>
                <w:rFonts w:hint="default"/>
                <w:sz w:val="21"/>
                <w:szCs w:val="21"/>
              </w:rPr>
              <w:t>洽谈桌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1.60*60cm加厚抗菌岩板台面，精选优质碳素钢材料，食品级喷漆，耐磨耐脏防锈，结构稳固称重性能好，耐用性佳。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直径：0.6米，台面高0.75米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张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3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十二、</w:t>
            </w:r>
            <w:r>
              <w:rPr>
                <w:rStyle w:val="15"/>
                <w:rFonts w:hint="default"/>
                <w:sz w:val="21"/>
                <w:szCs w:val="21"/>
              </w:rPr>
              <w:t>前台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1.基材：人造石+采用优质18mm生态多层板，甲醛释放量小于 5mg/100g；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2.优质实18mm生态多层板，材质坚硬、刚性强、不易腐蚀、抗弯强度适中、断裂强度适中。木材经高温干燥、除虫、防虫、防腐处理，具有很好的尺寸稳定性,含水率低于14%。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3.长:4.4米、宽:0.85米、高:1.1米；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米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4.4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十三、屏风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1.精选优质不锈钢材质，加厚加粗，表面高温烤漆，耐磨腐蚀性强，稳定性好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2.长:2.6米、宽:2.35米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平方米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6.11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十四、</w:t>
            </w:r>
            <w:r>
              <w:rPr>
                <w:rStyle w:val="15"/>
                <w:rFonts w:hint="default"/>
                <w:sz w:val="21"/>
                <w:szCs w:val="21"/>
              </w:rPr>
              <w:t>床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1.泡棉为PU成型发泡高密度海绵,高回弹海绵，软硬适中，回弹性好，不变形。整体切割,沙发坐面海绵密度≥25kg/m³；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2.饰面采用优质透气绒布；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3.实木框架，实木经过防虫、防潮、防腐及多次烘干蒸发处理，整体框架结构合理，牢固,甲醛释放量为0.1mg/L。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4.长:1.9米、宽:0.8米、高:0.62米；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张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十五、</w:t>
            </w:r>
            <w:r>
              <w:rPr>
                <w:rStyle w:val="15"/>
                <w:rFonts w:hint="default"/>
                <w:sz w:val="21"/>
                <w:szCs w:val="21"/>
              </w:rPr>
              <w:t>VIP室墙画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1.铝合金边框，磨砂饰面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2.长:0.6米、宽:0.8米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幅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十六、床帘轨道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1.轨道材质：铝合金。规格≥9mm*23mm ；厚度：≥1.2mm；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2.选用铝合金弹簧扣安装码，表面喷涂颜色与轨道一致；每米轨道至少配2个安装码；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3.明装式轨道，轨道结构稳固、平滑；定位、组配、安装固定及校正。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9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十七、</w:t>
            </w:r>
            <w:r>
              <w:rPr>
                <w:rStyle w:val="15"/>
                <w:rFonts w:hint="default"/>
                <w:sz w:val="21"/>
                <w:szCs w:val="21"/>
              </w:rPr>
              <w:t>医用床帘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1.材质要求：100%聚酯纤维；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2.遮光率≥80%；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3.单位面积质量（g/m2）：230±10 ；符合GB/T4669-2008《纺织品机织物单位长度质量和单位面积质量的测定》；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4.质量要求：符合（GB/T18401-2010)《国家纺织产品基本安全技术规范》标准，要求达“C类”或以上标准；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5.抗菌要求：符合GB/T20944.3-2008《纺织品抗菌性能的评价》样品具有良好的抗菌效果要求。要求金黄色葡萄球菌≥99%、大肠杆菌≥99%、肺炎克雷白氏菌≥99%、白色念珠菌≥99%（提供完整的国家认可的检测机构出具的具备CMA或CNAS标志的检测报告(复印件加盖公章) ）；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6.阻燃要求：防火等级:达GB/T17591-2025 B1级阻燃或以上标准（提供完整的国家认可的检测机构出具的具备CMA或CNAS标志的检测报告(复印件加盖公章) ）；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7.防霉性能：符合 GB/T24346-2009《纺织品防霉性能的评价》标准。要求防霉等级：0级；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8.工艺要求：采用1：1.5倍固定折位工艺，每幅床帘配一条绑带并车缝在帘身侧边（高度：2.8米）；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9.配件要求：含布带、挂钩、扎带；其中挂钩选用POM材质白色挂钩，表面光滑、齿形滑道整齐顺畅；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10.布料表面平整度高、垂感效果、抗拉伸性及抗破裂能力好；布料紧密厚实，手感细腻柔软，纹路清晰、车缝线条工整；褶皱设计合理，在整体关闭时美观；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11.定位、调校、安装。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十八、</w:t>
            </w:r>
            <w:r>
              <w:rPr>
                <w:rStyle w:val="15"/>
                <w:rFonts w:hint="default"/>
                <w:sz w:val="21"/>
                <w:szCs w:val="21"/>
              </w:rPr>
              <w:t>移动洗手盘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1.304不锈钢材质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2.尺寸：500X420X880mm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3.感应免接水管（插电款）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组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十九、</w:t>
            </w:r>
            <w:r>
              <w:rPr>
                <w:rStyle w:val="15"/>
                <w:rFonts w:hint="default"/>
                <w:sz w:val="21"/>
                <w:szCs w:val="21"/>
              </w:rPr>
              <w:t>PVC-U难燃电线槽14*24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1.难燃线槽安装 线槽断面周长(mm以内) 120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二十、</w:t>
            </w:r>
            <w:r>
              <w:rPr>
                <w:rStyle w:val="15"/>
                <w:rFonts w:hint="default"/>
                <w:sz w:val="21"/>
                <w:szCs w:val="21"/>
              </w:rPr>
              <w:t>PVC-U难燃电线管DN20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1.刚性难燃线管砖、混凝土结构明配 公称直径(mm以内) 20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二十一、</w:t>
            </w:r>
            <w:r>
              <w:rPr>
                <w:rStyle w:val="15"/>
                <w:rFonts w:hint="default"/>
                <w:sz w:val="21"/>
                <w:szCs w:val="21"/>
              </w:rPr>
              <w:t>铜芯塑料绝缘电线BV6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1.硬绝缘导线管内穿线 导线截面(mm2以内) 6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二十二、</w:t>
            </w:r>
            <w:r>
              <w:rPr>
                <w:rStyle w:val="15"/>
                <w:rFonts w:hint="default"/>
                <w:sz w:val="21"/>
                <w:szCs w:val="21"/>
              </w:rPr>
              <w:t>铜芯塑料绝缘电线BV4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1.硬绝缘导线管内穿线 导线截面(mm2以内) 6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75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二十三、</w:t>
            </w:r>
            <w:r>
              <w:rPr>
                <w:rStyle w:val="15"/>
                <w:rFonts w:hint="default"/>
                <w:sz w:val="21"/>
                <w:szCs w:val="21"/>
              </w:rPr>
              <w:t>铜芯塑料绝缘电线BV2.5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1.硬绝缘导线管内穿线 导线截面(mm2以内) 2.5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二十四、</w:t>
            </w:r>
            <w:r>
              <w:rPr>
                <w:rStyle w:val="15"/>
                <w:rFonts w:hint="default"/>
                <w:sz w:val="21"/>
                <w:szCs w:val="21"/>
              </w:rPr>
              <w:t>铜芯塑料绝缘电线BV1.5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1.硬绝缘导线管内穿线 导线截面(mm2以内) 2.5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二十五、</w:t>
            </w:r>
            <w:r>
              <w:rPr>
                <w:rStyle w:val="15"/>
                <w:rFonts w:hint="default"/>
                <w:sz w:val="21"/>
                <w:szCs w:val="21"/>
              </w:rPr>
              <w:t>软灯带</w:t>
            </w:r>
          </w:p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1.品种:灯带|光源:LED灯|功率(W):12</w:t>
            </w:r>
          </w:p>
        </w:tc>
        <w:tc>
          <w:tcPr>
            <w:tcW w:w="651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/>
                <w:sz w:val="21"/>
                <w:szCs w:val="21"/>
              </w:rPr>
            </w:pPr>
            <w:r>
              <w:rPr>
                <w:rStyle w:val="15"/>
                <w:rFonts w:hint="default"/>
                <w:sz w:val="21"/>
                <w:szCs w:val="21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Style w:val="15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Style w:val="15"/>
                <w:rFonts w:hint="eastAsia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二十六、装饰灯滑轨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1.点光源艺术装饰灯具安装 滑轨 示意图号:182、183、184、185、186、187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2.加厚铝轨道条(三线)、轨道灯具、通用电压、精工铝材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二十七、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导轨射灯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1.点光源艺术装饰灯具安装 射灯 滑轨式 示意图号:182、183、184、185、186、187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2.18w高显COB道轨射灯 白色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二十八、</w:t>
            </w: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三位单控指压开关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1.照明开关安装 扳式暗开关(单控) 三联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二十九、二、三极插座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1.单相明插座安装 单相(A以下) 16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三十、一位单控指压开关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1.照明开关安装 扳式暗开关(单控) 单联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default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三十一、p1.8全彩LED屏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1.含外框长（cm）298含外框高（cm）154   净尺寸(L)288cm  净尺寸(H)144cm  1.LED 封装方式 SMD1515 表贴三合一；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2.水平视角 H≥160° 垂直视角 V≥140°；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3.像素组成 1R1G1B；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4.点间距 1.86mm；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5.扫描方式 1/43 扫描；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6.驱动方式 恒流驱动；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7.模组分辨率 172×86 点；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8.模组尺寸 320mm×160mm×17mm；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9.模组重量 518g；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10.模组类型灯驱合一；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11.模组工作电压 4.2V-5V；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12.模组平均功率 16W；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13.模组最大功率 32W；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14.白平衡亮度 ≥500cd/m2；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15.色温 3000-18000K；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16.平均功率 317W/m2；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17.最大功率 633W/m2；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18.亮度均匀性 ≥97%；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19.色度均匀性 ±0.003Cx，Cy 之内；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20.像素密度（点/平方米） 640000；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21.对地漏电流 ≤3.5mA/m2；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22.换帧频率 60Hz；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23.刷新频率 ≥3840Hz。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4.54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8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三十二、视频处理器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1.单机具有2个网口，整机最大带载130万像素，宽度可达到4096点，高度可达到2048点。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2.支持多种数字信号接口，包括2路HDMI1.3、1路DVI-D和1路USB。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3.支持任意串线，网口带载不受矩形限制，提高网口利用率。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4.支持USB播放，完美支持多种视频、图片格式。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5.EDID配置管理：支持EDID(Extended Display Identification Data,扩展显示识别数据)的读取、修改、自定义。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6.支持画面一键静止功能。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7.支持输出纯色，渐变，扫描线等多种测试画面。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8.去黑边/剪裁功能：解决前端信号产生的黑边问题，针对任意信号源做任意裁剪(依旧保持满屏状态)。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9.支持按键锁定，防止误操作。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10.可实时、快捷地对整体输出画面显示亮度、对比度进行调整。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三十三、异步盒子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1.局域网连接：可通过路由器接入网络供手机、电脑连接，支持无线配置屏幕；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2.网线直连：可通过网线与电脑直连直接建立通讯；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3.常驻wifi热点：移动设备连接盒子发出的wifi热点进行无线通讯；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4.U盘传输：支持U盘发布节目、U盘调屏、设置大屏亮度等。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三十四、音柱扬声器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1.全天候设计（防水、耐热、抗硫），可在多种特殊环境下长期使用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2.高灵敏度、高声压级设计，宽广的频响覆盖范围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3.声音清晰纯净，轻松应对各种背景音乐和语音扩声需求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4.简约大方的外观设计，能与各种场合融合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喇叭口径 低音3.5”*4,高音2”*1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额定功率 20W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最大功率 40W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额定输入 70V/100V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灵 敏 度 90dB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频响范围 140Hz-15Hz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最大声压级 101dB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外形尺寸 106*106*730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三十五、USB功放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产品特点：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一路MIC、两路AUX输入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USB播放，MP3、WMA双解码。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温度保护、过压及过载保护。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MIC1输入自动默音。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小型化带多媒体音源一体机。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麦克风放大，即插即用。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型 号 ：AT-80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额定输出功率 ：80W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耗 电 量：110W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解码格式 ：MP2, MP3 WMA APE FLAC AAC MP4 M4A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WAV (IMA-ADPCM &amp; PCM), AIF, AIFC兼容2000Kbps以下数据文件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收音格式：FM(87~108MHz)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最小源电动势 ：MIC1 10mV(非平衡)，AUX1/AUX2 500mV(非平衡)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频率响应 ：+/-3dB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总谐波失真 ：小于1%(1KHz, 额定功率)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信 噪 比 ：线路 大于80dB，话筒 大于70dB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音调调节 ：低音：±6dB(100Hz) ，高音：±6dB(10KHz)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保护功能 ：超温，过流，过载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默音功能 ：话筒MIC1优先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 xml:space="preserve">额定电源：100-240V~ 50/60Hz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机身尺寸 ：252x71x200mm (宽x高x深)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净 重 ：2.65kg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三十六、喇叭线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1.3.5公转双莲花音频线，精炼铜，镀金工艺、0D3.5*7.6mm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40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三十七、10-12位明装箱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1.插接式空气开关箱安装 额定电流(A以内) 40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三十八、家用漏电保护开关 32A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1.DZ自动空气断路器安装 额定电流(A以内) 32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三十九、门口发光字底层装饰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1.型钢龙骨 单向1500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2.5厘铝塑板饰面层 安装在轻钢龙骨上 拼密缝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10.4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四十、房内隔断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1.轻钢龙骨石膏板隔墙(包龙骨) 双面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2.饰面层 竹木纤维板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四十一、竹木纤维踢脚线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1.踢脚线 复合(塑料)板 10公分高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7.5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四十二、VIP室房内门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1.基材：采用优质18mm生态多层板，甲醛释放量小于 5mg/100g；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2.优质实18mm生态多层板，材质坚硬、刚性强、不易腐蚀、抗弯强度适中、断裂强度适中。木材经高温干燥、除虫、防虫、防腐处理，具有很好的尺寸稳定性,含水率低于14%。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2.15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四十三、门锁安装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1.特殊五金安装 门锁安装 单向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套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四十四、房门塑色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1.其他木材面 刮腻子、底漆二遍、聚酯色漆二遍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2.其他木材面 油漆面抛光打蜡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25.83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四十五、室内形象墙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1.木龙骨 断面7.5cm2 木龙骨平均中距(mm以内) 400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2.阻燃胶合板基层 9mm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3.饰面层 高品质硅酸钙板 9mm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4.成品腻子粉(一般型)Y型 墙面 满刮一遍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5.乳胶漆底油二遍面油二遍 抹灰面 墙柱面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3.74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四十六、门口形象墙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1.木龙骨 断面7.5cm2 木龙骨平均中距(mm以内) 400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2.阻燃胶合板基层 9mm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3.饰面层 高品质硅酸钙板 9mm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4.成品腻子粉(一般型)Y型 墙面 满刮一遍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5.乳胶漆底油二遍面油二遍 抹灰面 墙柱面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9.34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四十七、门口名医工作室+LOGO发光字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1.迷你发光字高密度PP板+电源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2.05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四十八、形象墙背景板1(只做字，不做底板）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1.8+3MM亚克力字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6.17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四十九、</w:t>
            </w:r>
            <w:r>
              <w:rPr>
                <w:rFonts w:hint="eastAsia"/>
              </w:rPr>
              <w:t>亚克力三角牌480*180mm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1.泡沫塑料、有机玻璃美术字安装 0.5m2以内 其他面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五十、走廊波浪标识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1.走廊波浪标识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2.5MM厚PVC加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1.73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五十一、咨询台水晶字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1.咨询台水晶字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2.8+3MM水晶字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3.07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五十二、工作室简介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1.工作室简介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2.8MM厚亚克力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2.11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五十三、出诊专家亮相墙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1.出诊专家亮相墙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2.8MM厚亚克力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3.07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五十四、亚克力盒子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1.亚克力盒子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2.8MM厚亚克力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五十五、精诚为医以顶尖实力护佑生命健康LOGO牌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1.精诚为医以顶尖实力护佑生命健康LOGO牌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2.8MM厚亚克力UV字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3.13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五十六、候诊背景墙文化造型1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1.候诊背景墙文化造型1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2.8MM厚亚克力UV字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5.5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五十七、候诊背景墙文化造型2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1.候诊背景墙文化造型2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2.8MM厚亚克力UV字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4.62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五十八、形象墙背景板*3套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1.形象墙背景板*3套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2.8MM厚亚克力UV字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4.67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五十九、前台背景字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1.前台背景字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2.8+3MM亚克力字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4.67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六十、前台背景装饰条*2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1.前台背景装饰条*2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2.8+3MM亚克力字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m2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0.26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bookmarkStart w:id="1" w:name="_GoBack" w:colFirst="3" w:colLast="4"/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六十一、科室制度牌 600*800mm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1.科室制度牌 600*800mm</w:t>
            </w:r>
          </w:p>
        </w:tc>
        <w:tc>
          <w:tcPr>
            <w:tcW w:w="6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幅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15"/>
                <w:rFonts w:hint="eastAsia"/>
                <w:kern w:val="2"/>
                <w:sz w:val="21"/>
                <w:szCs w:val="21"/>
                <w:lang w:val="en-US" w:eastAsia="zh-CN" w:bidi="ar-SA"/>
              </w:rPr>
              <w:t>15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789" w:hRule="atLeast"/>
          <w:jc w:val="center"/>
        </w:trPr>
        <w:tc>
          <w:tcPr>
            <w:tcW w:w="119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售后服务方案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(9.2分)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根据投标人提供的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售后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服务方案进行综合评分。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优于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9.2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7.2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方案，基本满足项目需求，得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5.2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、有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服务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方案，不能完全满足项目需求，得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3.2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、未提供不得分。</w:t>
            </w:r>
          </w:p>
        </w:tc>
        <w:tc>
          <w:tcPr>
            <w:tcW w:w="24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66" w:hRule="atLeast"/>
          <w:jc w:val="center"/>
        </w:trPr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商务部分(12分)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同类项目业绩 </w:t>
            </w: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202</w:t>
            </w:r>
            <w:r>
              <w:rPr>
                <w:rFonts w:hint="eastAsia" w:asciiTheme="minorEastAsia" w:hAnsiTheme="minorEastAsia" w:cstheme="minorEastAsia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年1月1日（以合同签订时间为准）至今，供应商承接同类项目业绩，每提供一项同类项目业绩得4分，最高12分。注：需提供同类项目业绩合同复印件加盖公章，不提供不得分。</w:t>
            </w:r>
          </w:p>
        </w:tc>
        <w:tc>
          <w:tcPr>
            <w:tcW w:w="24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资料附后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54" w:hRule="atLeast"/>
          <w:jc w:val="center"/>
        </w:trPr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投标报价(30分)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投标报价得分 </w:t>
            </w:r>
          </w:p>
        </w:tc>
        <w:tc>
          <w:tcPr>
            <w:tcW w:w="474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投标价格最低的有效投标报价为评标基准价，其价格分为满分。其他投标人的价格分统一按照下列公式计算（保留二位小数）：投标报价得分=( 评标基准价/投标报价)×价格权值）</w:t>
            </w:r>
          </w:p>
        </w:tc>
        <w:tc>
          <w:tcPr>
            <w:tcW w:w="244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52" w:firstLineChars="196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NV60QM5AgAAcA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D79FA"/>
    <w:rsid w:val="000C4AAF"/>
    <w:rsid w:val="000E4C7F"/>
    <w:rsid w:val="00135A30"/>
    <w:rsid w:val="001535A1"/>
    <w:rsid w:val="00286064"/>
    <w:rsid w:val="00380D07"/>
    <w:rsid w:val="00430A22"/>
    <w:rsid w:val="00430FC8"/>
    <w:rsid w:val="004357CA"/>
    <w:rsid w:val="00441B05"/>
    <w:rsid w:val="004C764B"/>
    <w:rsid w:val="00542758"/>
    <w:rsid w:val="005F7AF5"/>
    <w:rsid w:val="00664206"/>
    <w:rsid w:val="00667A4A"/>
    <w:rsid w:val="00676D31"/>
    <w:rsid w:val="0069480B"/>
    <w:rsid w:val="006C270F"/>
    <w:rsid w:val="00817E13"/>
    <w:rsid w:val="0084231F"/>
    <w:rsid w:val="008C7B04"/>
    <w:rsid w:val="009103B7"/>
    <w:rsid w:val="009C713D"/>
    <w:rsid w:val="00A0663E"/>
    <w:rsid w:val="00A431C8"/>
    <w:rsid w:val="00AB4BE2"/>
    <w:rsid w:val="00B443E3"/>
    <w:rsid w:val="00B62612"/>
    <w:rsid w:val="00BB5554"/>
    <w:rsid w:val="00BE44D1"/>
    <w:rsid w:val="00C06AAA"/>
    <w:rsid w:val="00C82765"/>
    <w:rsid w:val="00CC1FE7"/>
    <w:rsid w:val="00D61D49"/>
    <w:rsid w:val="00DE6864"/>
    <w:rsid w:val="00EE4CCF"/>
    <w:rsid w:val="00F6791B"/>
    <w:rsid w:val="00F82446"/>
    <w:rsid w:val="02622FE9"/>
    <w:rsid w:val="05944CAF"/>
    <w:rsid w:val="05FA00CB"/>
    <w:rsid w:val="07A70343"/>
    <w:rsid w:val="07ED79FA"/>
    <w:rsid w:val="08235D30"/>
    <w:rsid w:val="084A0B55"/>
    <w:rsid w:val="089941CB"/>
    <w:rsid w:val="0A75468E"/>
    <w:rsid w:val="0CF83B9A"/>
    <w:rsid w:val="0FBB10D8"/>
    <w:rsid w:val="0FDD52F8"/>
    <w:rsid w:val="100011A5"/>
    <w:rsid w:val="130302B6"/>
    <w:rsid w:val="13142690"/>
    <w:rsid w:val="139C60C7"/>
    <w:rsid w:val="15C41B8D"/>
    <w:rsid w:val="15CA3669"/>
    <w:rsid w:val="1723762B"/>
    <w:rsid w:val="182E180B"/>
    <w:rsid w:val="1A3C0E76"/>
    <w:rsid w:val="1C2E56BC"/>
    <w:rsid w:val="1C7C4F84"/>
    <w:rsid w:val="1C8F7A67"/>
    <w:rsid w:val="1CDE306A"/>
    <w:rsid w:val="1CE55363"/>
    <w:rsid w:val="1E61168D"/>
    <w:rsid w:val="1E7456E8"/>
    <w:rsid w:val="1EB3103B"/>
    <w:rsid w:val="1F94792A"/>
    <w:rsid w:val="20757C3F"/>
    <w:rsid w:val="20D21AF9"/>
    <w:rsid w:val="22CC1428"/>
    <w:rsid w:val="23016EF6"/>
    <w:rsid w:val="239E0EFF"/>
    <w:rsid w:val="24170DE9"/>
    <w:rsid w:val="25ED137C"/>
    <w:rsid w:val="265E4317"/>
    <w:rsid w:val="28374BF6"/>
    <w:rsid w:val="29CA7B63"/>
    <w:rsid w:val="2ABD7AD1"/>
    <w:rsid w:val="2B8C78F9"/>
    <w:rsid w:val="2BB55DFC"/>
    <w:rsid w:val="2BF57A32"/>
    <w:rsid w:val="2D1D0DDD"/>
    <w:rsid w:val="2D1E313C"/>
    <w:rsid w:val="2D237411"/>
    <w:rsid w:val="2D8543D4"/>
    <w:rsid w:val="2E3555D8"/>
    <w:rsid w:val="2F0B4622"/>
    <w:rsid w:val="3008155D"/>
    <w:rsid w:val="318C5DD7"/>
    <w:rsid w:val="33202F0B"/>
    <w:rsid w:val="351A132B"/>
    <w:rsid w:val="35D528C2"/>
    <w:rsid w:val="3826775A"/>
    <w:rsid w:val="383A36D9"/>
    <w:rsid w:val="3B0269E5"/>
    <w:rsid w:val="3B3A79C9"/>
    <w:rsid w:val="3B8745F7"/>
    <w:rsid w:val="3BD573B0"/>
    <w:rsid w:val="3CB050A6"/>
    <w:rsid w:val="3D3E41DA"/>
    <w:rsid w:val="3E5264B8"/>
    <w:rsid w:val="3E692513"/>
    <w:rsid w:val="3EEB1B77"/>
    <w:rsid w:val="3F54018A"/>
    <w:rsid w:val="3FC9682E"/>
    <w:rsid w:val="3FD93C44"/>
    <w:rsid w:val="41D22618"/>
    <w:rsid w:val="462A07D3"/>
    <w:rsid w:val="474F068C"/>
    <w:rsid w:val="47A535BA"/>
    <w:rsid w:val="47A750F4"/>
    <w:rsid w:val="48B36CC9"/>
    <w:rsid w:val="49354A98"/>
    <w:rsid w:val="4A302311"/>
    <w:rsid w:val="4AFE2097"/>
    <w:rsid w:val="4C130B78"/>
    <w:rsid w:val="4F4F4C00"/>
    <w:rsid w:val="501721D3"/>
    <w:rsid w:val="51C619D0"/>
    <w:rsid w:val="54C91DFE"/>
    <w:rsid w:val="57467D6C"/>
    <w:rsid w:val="59704F4A"/>
    <w:rsid w:val="5BB3181C"/>
    <w:rsid w:val="5CAA4817"/>
    <w:rsid w:val="5D8367E9"/>
    <w:rsid w:val="5D887857"/>
    <w:rsid w:val="5FB01D4A"/>
    <w:rsid w:val="5FF756B7"/>
    <w:rsid w:val="609D4810"/>
    <w:rsid w:val="61537013"/>
    <w:rsid w:val="624C1854"/>
    <w:rsid w:val="62E75556"/>
    <w:rsid w:val="635331CE"/>
    <w:rsid w:val="636E5628"/>
    <w:rsid w:val="638B3A5F"/>
    <w:rsid w:val="63B87C8A"/>
    <w:rsid w:val="646D4AE3"/>
    <w:rsid w:val="648930EF"/>
    <w:rsid w:val="650B0753"/>
    <w:rsid w:val="67871767"/>
    <w:rsid w:val="68D6111E"/>
    <w:rsid w:val="68E33322"/>
    <w:rsid w:val="6A1674F3"/>
    <w:rsid w:val="6A4E083D"/>
    <w:rsid w:val="6CA61A01"/>
    <w:rsid w:val="6D10524F"/>
    <w:rsid w:val="6D7C2B3B"/>
    <w:rsid w:val="6ECB454F"/>
    <w:rsid w:val="6F0A7292"/>
    <w:rsid w:val="70913830"/>
    <w:rsid w:val="71155FCE"/>
    <w:rsid w:val="72C32F8F"/>
    <w:rsid w:val="73C34753"/>
    <w:rsid w:val="741572C0"/>
    <w:rsid w:val="75024B66"/>
    <w:rsid w:val="76566B51"/>
    <w:rsid w:val="768C39F1"/>
    <w:rsid w:val="77A62CC6"/>
    <w:rsid w:val="77DE6618"/>
    <w:rsid w:val="797C3920"/>
    <w:rsid w:val="7BD10B3C"/>
    <w:rsid w:val="7DC748C3"/>
    <w:rsid w:val="7E801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outlineLvl w:val="0"/>
    </w:pPr>
    <w:rPr>
      <w:rFonts w:eastAsia="仿宋"/>
      <w:b/>
      <w:kern w:val="44"/>
      <w:sz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1 Char"/>
    <w:basedOn w:val="10"/>
    <w:link w:val="3"/>
    <w:qFormat/>
    <w:uiPriority w:val="0"/>
    <w:rPr>
      <w:rFonts w:eastAsia="仿宋"/>
      <w:b/>
      <w:kern w:val="44"/>
      <w:sz w:val="36"/>
      <w:szCs w:val="24"/>
    </w:rPr>
  </w:style>
  <w:style w:type="character" w:customStyle="1" w:styleId="15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912</Words>
  <Characters>5205</Characters>
  <Lines>43</Lines>
  <Paragraphs>12</Paragraphs>
  <TotalTime>13</TotalTime>
  <ScaleCrop>false</ScaleCrop>
  <LinksUpToDate>false</LinksUpToDate>
  <CharactersWithSpaces>6105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2025-12-19T07:43:00Z</dcterms:created>
  <dc:creator>Administrator</dc:creator>
  <cp:lastModifiedBy>Wangwei</cp:lastModifiedBy>
  <dcterms:modified xsi:type="dcterms:W3CDTF">2026-07-10T09:08:40Z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C77387CCA3C549EB9C4B364441348EC7</vt:lpwstr>
  </property>
</Properties>
</file>